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942C9" w14:textId="77777777" w:rsidR="00B332DA" w:rsidRPr="00B332DA" w:rsidRDefault="00B332DA" w:rsidP="00B332DA">
      <w:r w:rsidRPr="00B332DA">
        <w:rPr>
          <w:b/>
          <w:bCs/>
        </w:rPr>
        <w:t>Title</w:t>
      </w:r>
      <w:r w:rsidRPr="00B332DA">
        <w:br/>
        <w:t>Efficacy and Safety of Actinium-225–PSMA Targeted Alpha Therapy in Metastatic Castration-Resistant Prostate Cancer: A Systematic Review and Meta-Analysis</w:t>
      </w:r>
    </w:p>
    <w:p w14:paraId="6C23E5F8" w14:textId="77777777" w:rsidR="00B332DA" w:rsidRPr="00B332DA" w:rsidRDefault="00B332DA" w:rsidP="00B332DA">
      <w:r w:rsidRPr="00B332DA">
        <w:pict w14:anchorId="57659C5E">
          <v:rect id="_x0000_i1067" style="width:0;height:1.5pt" o:hralign="center" o:hrstd="t" o:hr="t" fillcolor="#a0a0a0" stroked="f"/>
        </w:pict>
      </w:r>
    </w:p>
    <w:p w14:paraId="383A49D7" w14:textId="77777777" w:rsidR="00B332DA" w:rsidRPr="00B332DA" w:rsidRDefault="00B332DA" w:rsidP="00B332DA">
      <w:r w:rsidRPr="00B332DA">
        <w:rPr>
          <w:b/>
          <w:bCs/>
        </w:rPr>
        <w:t>Abstract</w:t>
      </w:r>
      <w:r w:rsidRPr="00B332DA">
        <w:br/>
      </w:r>
      <w:r w:rsidRPr="00B332DA">
        <w:rPr>
          <w:b/>
          <w:bCs/>
        </w:rPr>
        <w:t>Background</w:t>
      </w:r>
      <w:r w:rsidRPr="00B332DA">
        <w:t>: Targeted alpha therapy (TAT) with actinium-225 (Ac-225)–PSMA has emerged as a promising treatment for metastatic castration-resistant prostate cancer (</w:t>
      </w:r>
      <w:proofErr w:type="spellStart"/>
      <w:r w:rsidRPr="00B332DA">
        <w:t>mCRPC</w:t>
      </w:r>
      <w:proofErr w:type="spellEnd"/>
      <w:r w:rsidRPr="00B332DA">
        <w:t>). This systematic review and meta-analysis evaluate its efficacy and safety.</w:t>
      </w:r>
      <w:r w:rsidRPr="00B332DA">
        <w:br/>
      </w:r>
      <w:r w:rsidRPr="00B332DA">
        <w:rPr>
          <w:b/>
          <w:bCs/>
        </w:rPr>
        <w:t>Methods</w:t>
      </w:r>
      <w:r w:rsidRPr="00B332DA">
        <w:t>: A comprehensive literature search identified 18 studies (retrospective cohorts, one prospective study, one phase I trial) comprising 1,007 patients. Data on PSA50 response (≥50% PSA decline), survival outcomes, and adverse events (AEs) were extracted. Meta-analyses and subgroup analyses were performed.</w:t>
      </w:r>
      <w:r w:rsidRPr="00B332DA">
        <w:br/>
      </w:r>
      <w:r w:rsidRPr="00B332DA">
        <w:rPr>
          <w:b/>
          <w:bCs/>
        </w:rPr>
        <w:t>Results</w:t>
      </w:r>
      <w:r w:rsidRPr="00B332DA">
        <w:t>: The pooled PSA50 response rate was 64% (95% CI: 58–70%). Median progression-free survival (</w:t>
      </w:r>
      <w:proofErr w:type="spellStart"/>
      <w:r w:rsidRPr="00B332DA">
        <w:t>mPFS</w:t>
      </w:r>
      <w:proofErr w:type="spellEnd"/>
      <w:r w:rsidRPr="00B332DA">
        <w:t>) and overall survival (</w:t>
      </w:r>
      <w:proofErr w:type="spellStart"/>
      <w:r w:rsidRPr="00B332DA">
        <w:t>mOS</w:t>
      </w:r>
      <w:proofErr w:type="spellEnd"/>
      <w:r w:rsidRPr="00B332DA">
        <w:t xml:space="preserve">) ranged from 3–15 months and 8–31 months, respectively. PSA50 rates were significantly higher in patients with fewer prior lines of therapy (78% for 0 vs. 54% for ≥2 lines, </w:t>
      </w:r>
      <w:r w:rsidRPr="00B332DA">
        <w:rPr>
          <w:i/>
          <w:iCs/>
        </w:rPr>
        <w:t>p</w:t>
      </w:r>
      <w:r w:rsidRPr="00B332DA">
        <w:t xml:space="preserve">&lt;0.0001) and without prior </w:t>
      </w:r>
      <w:proofErr w:type="spellStart"/>
      <w:r w:rsidRPr="00B332DA">
        <w:t>ARPi</w:t>
      </w:r>
      <w:proofErr w:type="spellEnd"/>
      <w:r w:rsidRPr="00B332DA">
        <w:t xml:space="preserve"> (64.5% vs. 54%, </w:t>
      </w:r>
      <w:r w:rsidRPr="00B332DA">
        <w:rPr>
          <w:i/>
          <w:iCs/>
        </w:rPr>
        <w:t>p</w:t>
      </w:r>
      <w:r w:rsidRPr="00B332DA">
        <w:t xml:space="preserve">&lt;0.0001). Common AEs included </w:t>
      </w:r>
      <w:proofErr w:type="spellStart"/>
      <w:r w:rsidRPr="00B332DA">
        <w:t>anemia</w:t>
      </w:r>
      <w:proofErr w:type="spellEnd"/>
      <w:r w:rsidRPr="00B332DA">
        <w:t xml:space="preserve"> (68% any grade, 11% grade≥3) and xerostomia (77% any grade). Severe hematologic toxicities were rare (≤6%).</w:t>
      </w:r>
      <w:r w:rsidRPr="00B332DA">
        <w:br/>
      </w:r>
      <w:r w:rsidRPr="00B332DA">
        <w:rPr>
          <w:b/>
          <w:bCs/>
        </w:rPr>
        <w:t>Conclusion</w:t>
      </w:r>
      <w:r w:rsidRPr="00B332DA">
        <w:t xml:space="preserve">: Ac-225–PSMA TAT demonstrates robust PSA response rates and acceptable safety in heavily pretreated </w:t>
      </w:r>
      <w:proofErr w:type="spellStart"/>
      <w:r w:rsidRPr="00B332DA">
        <w:t>mCRPC</w:t>
      </w:r>
      <w:proofErr w:type="spellEnd"/>
      <w:r w:rsidRPr="00B332DA">
        <w:t xml:space="preserve"> patients, particularly those with limited prior therapies. Prospective trials are warranted to validate these findings.</w:t>
      </w:r>
    </w:p>
    <w:p w14:paraId="2F2F8291" w14:textId="77777777" w:rsidR="00B332DA" w:rsidRPr="00B332DA" w:rsidRDefault="00B332DA" w:rsidP="00B332DA">
      <w:r w:rsidRPr="00B332DA">
        <w:pict w14:anchorId="702C9F82">
          <v:rect id="_x0000_i1068" style="width:0;height:1.5pt" o:hralign="center" o:hrstd="t" o:hr="t" fillcolor="#a0a0a0" stroked="f"/>
        </w:pict>
      </w:r>
    </w:p>
    <w:p w14:paraId="4CB0B6C3" w14:textId="77777777" w:rsidR="00B332DA" w:rsidRPr="00B332DA" w:rsidRDefault="00B332DA" w:rsidP="00B332DA">
      <w:r w:rsidRPr="00B332DA">
        <w:rPr>
          <w:b/>
          <w:bCs/>
        </w:rPr>
        <w:t>Introduction</w:t>
      </w:r>
      <w:r w:rsidRPr="00B332DA">
        <w:br/>
        <w:t>Metastatic castration-resistant prostate cancer (</w:t>
      </w:r>
      <w:proofErr w:type="spellStart"/>
      <w:r w:rsidRPr="00B332DA">
        <w:t>mCRPC</w:t>
      </w:r>
      <w:proofErr w:type="spellEnd"/>
      <w:r w:rsidRPr="00B332DA">
        <w:t xml:space="preserve">) remains a lethal disease with limited therapeutic options after progression on androgen receptor pathway inhibitors (ARPIs), </w:t>
      </w:r>
      <w:proofErr w:type="spellStart"/>
      <w:r w:rsidRPr="00B332DA">
        <w:t>taxane</w:t>
      </w:r>
      <w:proofErr w:type="spellEnd"/>
      <w:r w:rsidRPr="00B332DA">
        <w:t xml:space="preserve"> chemotherapy, and lutetium-177–PSMA radioligand therapy (RLT). Targeted alpha therapy (TAT) using actinium-225 (Ac-225) conjugated to PSMA ligands offers a novel approach by delivering high-energy alpha particles to </w:t>
      </w:r>
      <w:proofErr w:type="spellStart"/>
      <w:r w:rsidRPr="00B332DA">
        <w:t>tumor</w:t>
      </w:r>
      <w:proofErr w:type="spellEnd"/>
      <w:r w:rsidRPr="00B332DA">
        <w:t xml:space="preserve"> sites while sparing healthy tissue. Early studies report significant PSA declines, but efficacy and safety data remain heterogeneous. This systematic review and meta-analysis synthesize existing evidence on Ac-225–PSMA TAT to inform clinical practice and future research.</w:t>
      </w:r>
    </w:p>
    <w:p w14:paraId="3260389F" w14:textId="77777777" w:rsidR="00B332DA" w:rsidRPr="00B332DA" w:rsidRDefault="00B332DA" w:rsidP="00B332DA">
      <w:r w:rsidRPr="00B332DA">
        <w:pict w14:anchorId="7AF02480">
          <v:rect id="_x0000_i1069" style="width:0;height:1.5pt" o:hralign="center" o:hrstd="t" o:hr="t" fillcolor="#a0a0a0" stroked="f"/>
        </w:pict>
      </w:r>
    </w:p>
    <w:p w14:paraId="3069072D" w14:textId="77777777" w:rsidR="00B332DA" w:rsidRPr="00B332DA" w:rsidRDefault="00B332DA" w:rsidP="00B332DA">
      <w:r w:rsidRPr="00B332DA">
        <w:rPr>
          <w:b/>
          <w:bCs/>
        </w:rPr>
        <w:t>Materials and Methods</w:t>
      </w:r>
      <w:r w:rsidRPr="00B332DA">
        <w:br/>
      </w:r>
      <w:r w:rsidRPr="00B332DA">
        <w:rPr>
          <w:b/>
          <w:bCs/>
        </w:rPr>
        <w:t>Search Strategy and Study Selection</w:t>
      </w:r>
      <w:r w:rsidRPr="00B332DA">
        <w:t>:</w:t>
      </w:r>
      <w:r w:rsidRPr="00B332DA">
        <w:br/>
        <w:t xml:space="preserve">A PRISMA-compliant search was conducted in PubMed, EMBASE, and Cochrane Library (inception to March 2024) using terms including “actinium-225,” “PSMA,” and “prostate cancer.” Inclusion criteria: studies reporting PSA50, survival outcomes, or AEs for Ac-225–PSMA TAT in </w:t>
      </w:r>
      <w:proofErr w:type="spellStart"/>
      <w:r w:rsidRPr="00B332DA">
        <w:t>mCRPC</w:t>
      </w:r>
      <w:proofErr w:type="spellEnd"/>
      <w:r w:rsidRPr="00B332DA">
        <w:t>. Exclusion criteria: non-English articles, case reports, and reviews.</w:t>
      </w:r>
    </w:p>
    <w:p w14:paraId="484513E7" w14:textId="77777777" w:rsidR="00B332DA" w:rsidRPr="00B332DA" w:rsidRDefault="00B332DA" w:rsidP="00B332DA">
      <w:r w:rsidRPr="00B332DA">
        <w:rPr>
          <w:b/>
          <w:bCs/>
        </w:rPr>
        <w:lastRenderedPageBreak/>
        <w:t>Data Extraction and Quality Assessment</w:t>
      </w:r>
      <w:r w:rsidRPr="00B332DA">
        <w:t>:</w:t>
      </w:r>
      <w:r w:rsidRPr="00B332DA">
        <w:br/>
        <w:t>Two reviewers independently extracted data on study design, patient characteristics, treatment protocols, and outcomes. Risk of bias was assessed using the Newcastle-Ottawa Scale for observational studies.</w:t>
      </w:r>
    </w:p>
    <w:p w14:paraId="1D19547F" w14:textId="77777777" w:rsidR="00B332DA" w:rsidRPr="00B332DA" w:rsidRDefault="00B332DA" w:rsidP="00B332DA">
      <w:r w:rsidRPr="00B332DA">
        <w:rPr>
          <w:b/>
          <w:bCs/>
        </w:rPr>
        <w:t>Statistical Analysis</w:t>
      </w:r>
      <w:r w:rsidRPr="00B332DA">
        <w:t>:</w:t>
      </w:r>
      <w:r w:rsidRPr="00B332DA">
        <w:br/>
        <w:t xml:space="preserve">Pooled PSA50 rates with 95% confidence intervals (CI) were calculated using a random-effects model. Subgroup analyses compared outcomes by prior therapies. Heterogeneity was assessed via </w:t>
      </w:r>
      <w:r w:rsidRPr="00B332DA">
        <w:rPr>
          <w:i/>
          <w:iCs/>
        </w:rPr>
        <w:t>I²</w:t>
      </w:r>
      <w:r w:rsidRPr="00B332DA">
        <w:t xml:space="preserve"> statistics. Survival outcomes and AEs were descriptively synthesized.</w:t>
      </w:r>
    </w:p>
    <w:p w14:paraId="6FCB3BDD" w14:textId="77777777" w:rsidR="00B332DA" w:rsidRPr="00B332DA" w:rsidRDefault="00B332DA" w:rsidP="00B332DA">
      <w:r w:rsidRPr="00B332DA">
        <w:pict w14:anchorId="69B54074">
          <v:rect id="_x0000_i1070" style="width:0;height:1.5pt" o:hralign="center" o:hrstd="t" o:hr="t" fillcolor="#a0a0a0" stroked="f"/>
        </w:pict>
      </w:r>
    </w:p>
    <w:p w14:paraId="62C4822C" w14:textId="77777777" w:rsidR="00B332DA" w:rsidRPr="00B332DA" w:rsidRDefault="00B332DA" w:rsidP="00B332DA">
      <w:r w:rsidRPr="00B332DA">
        <w:rPr>
          <w:b/>
          <w:bCs/>
        </w:rPr>
        <w:t>Results</w:t>
      </w:r>
      <w:r w:rsidRPr="00B332DA">
        <w:br/>
      </w:r>
      <w:r w:rsidRPr="00B332DA">
        <w:rPr>
          <w:b/>
          <w:bCs/>
        </w:rPr>
        <w:t>Study Selection and Characteristics</w:t>
      </w:r>
      <w:r w:rsidRPr="00B332DA">
        <w:t>:</w:t>
      </w:r>
      <w:r w:rsidRPr="00B332DA">
        <w:br/>
        <w:t xml:space="preserve">Of 1,007 patients across 18 studies (Figure 1), 94% received prior androgen deprivation therapy (ADT), 73% prior </w:t>
      </w:r>
      <w:proofErr w:type="spellStart"/>
      <w:r w:rsidRPr="00B332DA">
        <w:t>taxane</w:t>
      </w:r>
      <w:proofErr w:type="spellEnd"/>
      <w:r w:rsidRPr="00B332DA">
        <w:t xml:space="preserve"> chemotherapy, and 43% prior Lu-177–PSMA RLT. Median baseline PSA was 158–878 ng/mL (Table 1).</w:t>
      </w:r>
    </w:p>
    <w:p w14:paraId="27C2B99D" w14:textId="77777777" w:rsidR="00B332DA" w:rsidRPr="00B332DA" w:rsidRDefault="00B332DA" w:rsidP="00B332DA">
      <w:r w:rsidRPr="00B332DA">
        <w:rPr>
          <w:b/>
          <w:bCs/>
        </w:rPr>
        <w:t>Efficacy Outcomes</w:t>
      </w:r>
      <w:r w:rsidRPr="00B332DA">
        <w:t>:</w:t>
      </w:r>
    </w:p>
    <w:p w14:paraId="74577786" w14:textId="77777777" w:rsidR="00B332DA" w:rsidRPr="00B332DA" w:rsidRDefault="00B332DA" w:rsidP="00B332DA">
      <w:pPr>
        <w:numPr>
          <w:ilvl w:val="0"/>
          <w:numId w:val="1"/>
        </w:numPr>
      </w:pPr>
      <w:r w:rsidRPr="00B332DA">
        <w:rPr>
          <w:b/>
          <w:bCs/>
        </w:rPr>
        <w:t>PSA50 Response</w:t>
      </w:r>
      <w:r w:rsidRPr="00B332DA">
        <w:t>: Pooled PSA50 rate was 64% (95% CI: 58–70%), with significant variability across studies (26–91%) (Figure 2).</w:t>
      </w:r>
    </w:p>
    <w:p w14:paraId="5A91586C" w14:textId="77777777" w:rsidR="00B332DA" w:rsidRPr="00B332DA" w:rsidRDefault="00B332DA" w:rsidP="00B332DA">
      <w:pPr>
        <w:numPr>
          <w:ilvl w:val="0"/>
          <w:numId w:val="1"/>
        </w:numPr>
      </w:pPr>
      <w:r w:rsidRPr="00B332DA">
        <w:rPr>
          <w:b/>
          <w:bCs/>
        </w:rPr>
        <w:t>Subgroup Analyses</w:t>
      </w:r>
      <w:r w:rsidRPr="00B332DA">
        <w:t>:</w:t>
      </w:r>
    </w:p>
    <w:p w14:paraId="14FA141C" w14:textId="77777777" w:rsidR="00B332DA" w:rsidRPr="00B332DA" w:rsidRDefault="00B332DA" w:rsidP="00B332DA">
      <w:pPr>
        <w:numPr>
          <w:ilvl w:val="1"/>
          <w:numId w:val="1"/>
        </w:numPr>
      </w:pPr>
      <w:r w:rsidRPr="00B332DA">
        <w:t xml:space="preserve">Prior therapies: PSA50 rates declined with increasing lines of therapy (78% for 0 vs. 54% for ≥2 lines; </w:t>
      </w:r>
      <w:r w:rsidRPr="00B332DA">
        <w:rPr>
          <w:i/>
          <w:iCs/>
        </w:rPr>
        <w:t>p</w:t>
      </w:r>
      <w:r w:rsidRPr="00B332DA">
        <w:t>&lt;0.0001) (Figure 3).</w:t>
      </w:r>
    </w:p>
    <w:p w14:paraId="58E226B9" w14:textId="77777777" w:rsidR="00B332DA" w:rsidRPr="00B332DA" w:rsidRDefault="00B332DA" w:rsidP="00B332DA">
      <w:pPr>
        <w:numPr>
          <w:ilvl w:val="1"/>
          <w:numId w:val="1"/>
        </w:numPr>
      </w:pPr>
      <w:r w:rsidRPr="00B332DA">
        <w:t xml:space="preserve">Prior </w:t>
      </w:r>
      <w:proofErr w:type="spellStart"/>
      <w:r w:rsidRPr="00B332DA">
        <w:t>ARPi</w:t>
      </w:r>
      <w:proofErr w:type="spellEnd"/>
      <w:r w:rsidRPr="00B332DA">
        <w:t xml:space="preserve">: Lower PSA50 rates in </w:t>
      </w:r>
      <w:proofErr w:type="spellStart"/>
      <w:r w:rsidRPr="00B332DA">
        <w:t>ARPi</w:t>
      </w:r>
      <w:proofErr w:type="spellEnd"/>
      <w:r w:rsidRPr="00B332DA">
        <w:t xml:space="preserve">-pretreated patients (54% vs. 64.5%; </w:t>
      </w:r>
      <w:r w:rsidRPr="00B332DA">
        <w:rPr>
          <w:i/>
          <w:iCs/>
        </w:rPr>
        <w:t>p</w:t>
      </w:r>
      <w:r w:rsidRPr="00B332DA">
        <w:t>&lt;0.0001) (Figure 4).</w:t>
      </w:r>
    </w:p>
    <w:p w14:paraId="76F47C04" w14:textId="77777777" w:rsidR="00B332DA" w:rsidRPr="00B332DA" w:rsidRDefault="00B332DA" w:rsidP="00B332DA">
      <w:pPr>
        <w:numPr>
          <w:ilvl w:val="1"/>
          <w:numId w:val="1"/>
        </w:numPr>
      </w:pPr>
      <w:r w:rsidRPr="00B332DA">
        <w:t xml:space="preserve">Visceral metastases: No significant difference in PSA50 rates (68% vs. 71%; </w:t>
      </w:r>
      <w:r w:rsidRPr="00B332DA">
        <w:rPr>
          <w:i/>
          <w:iCs/>
        </w:rPr>
        <w:t>p</w:t>
      </w:r>
      <w:r w:rsidRPr="00B332DA">
        <w:t>=0.23) (Figure 7).</w:t>
      </w:r>
    </w:p>
    <w:p w14:paraId="1C46AC7A" w14:textId="77777777" w:rsidR="00B332DA" w:rsidRPr="00B332DA" w:rsidRDefault="00B332DA" w:rsidP="00B332DA">
      <w:pPr>
        <w:numPr>
          <w:ilvl w:val="0"/>
          <w:numId w:val="1"/>
        </w:numPr>
      </w:pPr>
      <w:r w:rsidRPr="00B332DA">
        <w:rPr>
          <w:b/>
          <w:bCs/>
        </w:rPr>
        <w:t>Survival</w:t>
      </w:r>
      <w:r w:rsidRPr="00B332DA">
        <w:t xml:space="preserve">: Median OS ranged from 8–31 months; </w:t>
      </w:r>
      <w:proofErr w:type="spellStart"/>
      <w:r w:rsidRPr="00B332DA">
        <w:t>mPFS</w:t>
      </w:r>
      <w:proofErr w:type="spellEnd"/>
      <w:r w:rsidRPr="00B332DA">
        <w:t xml:space="preserve"> ranged from 3–15 months (Table 1).</w:t>
      </w:r>
    </w:p>
    <w:p w14:paraId="5E538415" w14:textId="77777777" w:rsidR="00B332DA" w:rsidRPr="00B332DA" w:rsidRDefault="00B332DA" w:rsidP="00B332DA">
      <w:r w:rsidRPr="00B332DA">
        <w:rPr>
          <w:b/>
          <w:bCs/>
        </w:rPr>
        <w:t>Safety Profile</w:t>
      </w:r>
      <w:r w:rsidRPr="00B332DA">
        <w:t>:</w:t>
      </w:r>
      <w:r w:rsidRPr="00B332DA">
        <w:br/>
        <w:t xml:space="preserve">Common AEs included </w:t>
      </w:r>
      <w:proofErr w:type="spellStart"/>
      <w:r w:rsidRPr="00B332DA">
        <w:t>anemia</w:t>
      </w:r>
      <w:proofErr w:type="spellEnd"/>
      <w:r w:rsidRPr="00B332DA">
        <w:t xml:space="preserve"> (68% any grade), xerostomia (77%), and thrombocytopenia (40%). Severe AEs (grade≥3) were infrequent: </w:t>
      </w:r>
      <w:proofErr w:type="spellStart"/>
      <w:r w:rsidRPr="00B332DA">
        <w:t>anemia</w:t>
      </w:r>
      <w:proofErr w:type="spellEnd"/>
      <w:r w:rsidRPr="00B332DA">
        <w:t xml:space="preserve"> (11%), thrombocytopenia (6%), and leukopenia (4%) (Table 3).</w:t>
      </w:r>
    </w:p>
    <w:p w14:paraId="44FF0992" w14:textId="77777777" w:rsidR="00B332DA" w:rsidRPr="00B332DA" w:rsidRDefault="00B332DA" w:rsidP="00B332DA">
      <w:r w:rsidRPr="00B332DA">
        <w:pict w14:anchorId="69768904">
          <v:rect id="_x0000_i1071" style="width:0;height:1.5pt" o:hralign="center" o:hrstd="t" o:hr="t" fillcolor="#a0a0a0" stroked="f"/>
        </w:pict>
      </w:r>
    </w:p>
    <w:p w14:paraId="071F0E1E" w14:textId="77777777" w:rsidR="00B332DA" w:rsidRPr="00B332DA" w:rsidRDefault="00B332DA" w:rsidP="00B332DA">
      <w:r w:rsidRPr="00B332DA">
        <w:rPr>
          <w:b/>
          <w:bCs/>
        </w:rPr>
        <w:t>Discussion</w:t>
      </w:r>
      <w:r w:rsidRPr="00B332DA">
        <w:br/>
        <w:t xml:space="preserve">This analysis highlights Ac-225–PSMA TAT as a potent therapeutic option for </w:t>
      </w:r>
      <w:proofErr w:type="spellStart"/>
      <w:r w:rsidRPr="00B332DA">
        <w:t>mCRPC</w:t>
      </w:r>
      <w:proofErr w:type="spellEnd"/>
      <w:r w:rsidRPr="00B332DA">
        <w:t xml:space="preserve">, with PSA50 rates surpassing those of many existing therapies (e.g., ~30–40% for </w:t>
      </w:r>
      <w:proofErr w:type="spellStart"/>
      <w:r w:rsidRPr="00B332DA">
        <w:t>ARPi</w:t>
      </w:r>
      <w:proofErr w:type="spellEnd"/>
      <w:r w:rsidRPr="00B332DA">
        <w:t xml:space="preserve">). The inverse relationship between PSA50 and prior treatment lines suggests greater efficacy in less heavily </w:t>
      </w:r>
      <w:r w:rsidRPr="00B332DA">
        <w:lastRenderedPageBreak/>
        <w:t>pretreated patients, possibly due to preserved PSMA expression. Notably, visceral metastases did not diminish response rates, supporting TAT’s applicability in high-risk subgroups.</w:t>
      </w:r>
    </w:p>
    <w:p w14:paraId="4D6D53D6" w14:textId="77777777" w:rsidR="00B332DA" w:rsidRPr="00B332DA" w:rsidRDefault="00B332DA" w:rsidP="00B332DA">
      <w:r w:rsidRPr="00B332DA">
        <w:t>Safety data indicate manageable toxicity, predominantly hematologic and salivary gland effects. Severe events were rare, contrasting with the higher grade≥3 toxicity rates of chemotherapy (e.g., 20–30% for docetaxel). However, long-term renal and hematologic monitoring remains critical.</w:t>
      </w:r>
    </w:p>
    <w:p w14:paraId="763628C2" w14:textId="77777777" w:rsidR="00B332DA" w:rsidRPr="00B332DA" w:rsidRDefault="00B332DA" w:rsidP="00B332DA">
      <w:r w:rsidRPr="00B332DA">
        <w:rPr>
          <w:b/>
          <w:bCs/>
        </w:rPr>
        <w:t>Limitations</w:t>
      </w:r>
      <w:r w:rsidRPr="00B332DA">
        <w:t xml:space="preserve">: Retrospective design and heterogeneity in dosing (e.g., 100 </w:t>
      </w:r>
      <w:proofErr w:type="spellStart"/>
      <w:r w:rsidRPr="00B332DA">
        <w:t>kBq</w:t>
      </w:r>
      <w:proofErr w:type="spellEnd"/>
      <w:r w:rsidRPr="00B332DA">
        <w:t>/kg vs. 8 MBq regimens) limit generalizability. Survival data were inconsistently reported, necessitating cautious interpretation.</w:t>
      </w:r>
    </w:p>
    <w:p w14:paraId="16C68986" w14:textId="77777777" w:rsidR="00B332DA" w:rsidRPr="00B332DA" w:rsidRDefault="00B332DA" w:rsidP="00B332DA">
      <w:r w:rsidRPr="00B332DA">
        <w:rPr>
          <w:b/>
          <w:bCs/>
        </w:rPr>
        <w:t>Clinical Implications</w:t>
      </w:r>
      <w:r w:rsidRPr="00B332DA">
        <w:t xml:space="preserve">: Ac-225–PSMA TAT may be prioritized for patients with limited prior therapies or </w:t>
      </w:r>
      <w:proofErr w:type="spellStart"/>
      <w:r w:rsidRPr="00B332DA">
        <w:t>ARPi</w:t>
      </w:r>
      <w:proofErr w:type="spellEnd"/>
      <w:r w:rsidRPr="00B332DA">
        <w:t xml:space="preserve"> resistance. Ongoing phase III trials (e.g., </w:t>
      </w:r>
      <w:proofErr w:type="spellStart"/>
      <w:r w:rsidRPr="00B332DA">
        <w:t>AcTION</w:t>
      </w:r>
      <w:proofErr w:type="spellEnd"/>
      <w:r w:rsidRPr="00B332DA">
        <w:t>) will clarify its role in sequencing with Lu-177–PSMA RLT.</w:t>
      </w:r>
    </w:p>
    <w:p w14:paraId="599694A6" w14:textId="77777777" w:rsidR="00B332DA" w:rsidRPr="00B332DA" w:rsidRDefault="00B332DA" w:rsidP="00B332DA">
      <w:r w:rsidRPr="00B332DA">
        <w:pict w14:anchorId="0373475B">
          <v:rect id="_x0000_i1072" style="width:0;height:1.5pt" o:hralign="center" o:hrstd="t" o:hr="t" fillcolor="#a0a0a0" stroked="f"/>
        </w:pict>
      </w:r>
    </w:p>
    <w:p w14:paraId="00D17C46" w14:textId="77777777" w:rsidR="00B332DA" w:rsidRPr="00B332DA" w:rsidRDefault="00B332DA" w:rsidP="00B332DA">
      <w:r w:rsidRPr="00B332DA">
        <w:rPr>
          <w:b/>
          <w:bCs/>
        </w:rPr>
        <w:t>Conclusion</w:t>
      </w:r>
      <w:r w:rsidRPr="00B332DA">
        <w:br/>
        <w:t xml:space="preserve">Ac-225–PSMA TAT achieves robust biochemical responses and tolerable toxicity in advanced </w:t>
      </w:r>
      <w:proofErr w:type="spellStart"/>
      <w:r w:rsidRPr="00B332DA">
        <w:t>mCRPC</w:t>
      </w:r>
      <w:proofErr w:type="spellEnd"/>
      <w:r w:rsidRPr="00B332DA">
        <w:t>, particularly in earlier-line settings. Prospective studies should standardize dosing and evaluate combination strategies to optimize outcomes.</w:t>
      </w:r>
    </w:p>
    <w:p w14:paraId="7F994658" w14:textId="77777777" w:rsidR="00B332DA" w:rsidRPr="00B332DA" w:rsidRDefault="00B332DA" w:rsidP="00B332DA">
      <w:r w:rsidRPr="00B332DA">
        <w:pict w14:anchorId="78852CEC">
          <v:rect id="_x0000_i1073" style="width:0;height:1.5pt" o:hralign="center" o:hrstd="t" o:hr="t" fillcolor="#a0a0a0" stroked="f"/>
        </w:pict>
      </w:r>
    </w:p>
    <w:p w14:paraId="362C91A9" w14:textId="77777777" w:rsidR="00B332DA" w:rsidRPr="00B332DA" w:rsidRDefault="00B332DA" w:rsidP="00B332DA">
      <w:r w:rsidRPr="00B332DA">
        <w:rPr>
          <w:b/>
          <w:bCs/>
        </w:rPr>
        <w:t>Figures and Tables Referenced</w:t>
      </w:r>
    </w:p>
    <w:p w14:paraId="66DCD0CA" w14:textId="77777777" w:rsidR="00B332DA" w:rsidRPr="00B332DA" w:rsidRDefault="00B332DA" w:rsidP="00B332DA">
      <w:pPr>
        <w:numPr>
          <w:ilvl w:val="0"/>
          <w:numId w:val="2"/>
        </w:numPr>
      </w:pPr>
      <w:r w:rsidRPr="00B332DA">
        <w:t>Figure 1: CONSORT flowchart (study selection).</w:t>
      </w:r>
    </w:p>
    <w:p w14:paraId="4042D1C4" w14:textId="77777777" w:rsidR="00B332DA" w:rsidRPr="00B332DA" w:rsidRDefault="00B332DA" w:rsidP="00B332DA">
      <w:pPr>
        <w:numPr>
          <w:ilvl w:val="0"/>
          <w:numId w:val="2"/>
        </w:numPr>
      </w:pPr>
      <w:r w:rsidRPr="00B332DA">
        <w:t>Table 1: Baseline characteristics and outcomes.</w:t>
      </w:r>
    </w:p>
    <w:p w14:paraId="5E7613C2" w14:textId="77777777" w:rsidR="00B332DA" w:rsidRPr="00B332DA" w:rsidRDefault="00B332DA" w:rsidP="00B332DA">
      <w:pPr>
        <w:numPr>
          <w:ilvl w:val="0"/>
          <w:numId w:val="2"/>
        </w:numPr>
      </w:pPr>
      <w:r w:rsidRPr="00B332DA">
        <w:t>Table 2/Figures 2–7: PSA50 subgroup analyses.</w:t>
      </w:r>
    </w:p>
    <w:p w14:paraId="72E0E538" w14:textId="77777777" w:rsidR="00B332DA" w:rsidRPr="00B332DA" w:rsidRDefault="00B332DA" w:rsidP="00B332DA">
      <w:pPr>
        <w:numPr>
          <w:ilvl w:val="0"/>
          <w:numId w:val="2"/>
        </w:numPr>
      </w:pPr>
      <w:r w:rsidRPr="00B332DA">
        <w:t>Table 3: Adverse events.</w:t>
      </w:r>
    </w:p>
    <w:p w14:paraId="29D8EBDC" w14:textId="77777777" w:rsidR="00B332DA" w:rsidRDefault="00B332DA"/>
    <w:sectPr w:rsidR="00B332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F5E1C"/>
    <w:multiLevelType w:val="multilevel"/>
    <w:tmpl w:val="27180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0C24A3"/>
    <w:multiLevelType w:val="multilevel"/>
    <w:tmpl w:val="7DE64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3363261">
    <w:abstractNumId w:val="0"/>
  </w:num>
  <w:num w:numId="2" w16cid:durableId="1638488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2DA"/>
    <w:rsid w:val="00575F0E"/>
    <w:rsid w:val="00B3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D8E3F"/>
  <w15:chartTrackingRefBased/>
  <w15:docId w15:val="{786B856E-7346-4FBE-B8BE-B2B135C32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332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33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332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33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332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33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33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33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33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332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332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332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332D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332D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332D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332D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332D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332D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33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33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33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33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33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332D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332D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332D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332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332D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332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9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861</Words>
  <Characters>4911</Characters>
  <Application>Microsoft Office Word</Application>
  <DocSecurity>0</DocSecurity>
  <Lines>40</Lines>
  <Paragraphs>11</Paragraphs>
  <ScaleCrop>false</ScaleCrop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Cristiano Pini</dc:creator>
  <cp:keywords/>
  <dc:description/>
  <cp:lastModifiedBy>Cristiano Pini</cp:lastModifiedBy>
  <cp:revision>1</cp:revision>
  <dcterms:created xsi:type="dcterms:W3CDTF">2025-04-21T09:20:00Z</dcterms:created>
  <dcterms:modified xsi:type="dcterms:W3CDTF">2025-04-21T09:21:00Z</dcterms:modified>
</cp:coreProperties>
</file>